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150993" w:rsidRDefault="008C70EE">
      <w:pPr>
        <w:pStyle w:val="Heading4"/>
        <w:rPr>
          <w:rFonts w:eastAsia="Times New Roman"/>
          <w:lang w:val="en-US"/>
        </w:rPr>
      </w:pPr>
      <w:r w:rsidRPr="00150993">
        <w:rPr>
          <w:rFonts w:eastAsia="Times New Roman"/>
          <w:lang w:val="en-US"/>
        </w:rPr>
        <w:t>CCC (pain.001.00x.0{2,3})</w:t>
      </w:r>
    </w:p>
    <w:p w:rsidR="00000000" w:rsidRPr="00150993" w:rsidRDefault="00A337A7">
      <w:pPr>
        <w:pStyle w:val="NormalWeb"/>
        <w:rPr>
          <w:lang w:val="en-US"/>
        </w:rPr>
      </w:pPr>
      <w:bookmarkStart w:id="0" w:name="_GoBack"/>
      <w:bookmarkEnd w:id="0"/>
      <w:r w:rsidRPr="00E3106D">
        <w:rPr>
          <w:rFonts w:eastAsia="Times New Roman"/>
          <w:color w:val="000000"/>
          <w:lang w:val="en-US"/>
        </w:rPr>
        <w:t xml:space="preserve">This </w:t>
      </w:r>
      <w:r>
        <w:rPr>
          <w:rFonts w:eastAsia="Times New Roman"/>
          <w:color w:val="000000"/>
        </w:rPr>
        <w:t>handler</w:t>
      </w:r>
      <w:r w:rsidR="008C70EE" w:rsidRPr="00150993">
        <w:rPr>
          <w:lang w:val="en-US"/>
        </w:rPr>
        <w:t xml:space="preserve"> processes container files with SEPA transfers in the following formats: </w:t>
      </w:r>
      <w:r w:rsidR="008C70EE" w:rsidRPr="00150993">
        <w:rPr>
          <w:lang w:val="en-US"/>
        </w:rPr>
        <w:br/>
        <w:t xml:space="preserve">SEPA-3.1 — pain.001.001.03 in container.nnn.001.02 (GBIC2) </w:t>
      </w:r>
      <w:r w:rsidR="008C70EE" w:rsidRPr="00150993">
        <w:rPr>
          <w:lang w:val="en-US"/>
        </w:rPr>
        <w:br/>
        <w:t xml:space="preserve">SEPA-3.0 — pain.001.001.03 in container.nnn.001.02 </w:t>
      </w:r>
      <w:r w:rsidR="008C70EE" w:rsidRPr="00150993">
        <w:rPr>
          <w:lang w:val="en-US"/>
        </w:rPr>
        <w:br/>
        <w:t xml:space="preserve">SEPA-2.7 — </w:t>
      </w:r>
      <w:r w:rsidR="008C70EE" w:rsidRPr="00150993">
        <w:rPr>
          <w:lang w:val="en-US"/>
        </w:rPr>
        <w:t xml:space="preserve">pain.001.003.03 in container.nnn.003.02 </w:t>
      </w:r>
      <w:r w:rsidR="008C70EE" w:rsidRPr="00150993">
        <w:rPr>
          <w:lang w:val="en-US"/>
        </w:rPr>
        <w:br/>
        <w:t xml:space="preserve">SEPA-2.5 — pain.001.002.03 in container.nnn.002.02 </w:t>
      </w:r>
      <w:r w:rsidR="008C70EE" w:rsidRPr="00150993">
        <w:rPr>
          <w:lang w:val="en-US"/>
        </w:rPr>
        <w:br/>
        <w:t xml:space="preserve">SEPA-2.4 — pain.001.002.02 in container.nnn.002 </w:t>
      </w:r>
    </w:p>
    <w:p w:rsidR="00150993" w:rsidRDefault="00150993">
      <w:pPr>
        <w:pStyle w:val="NormalWeb"/>
        <w:rPr>
          <w:lang w:val="en-US"/>
        </w:rPr>
      </w:pPr>
      <w:r>
        <w:rPr>
          <w:lang w:val="en-US"/>
        </w:rPr>
        <w:t>It enables the control of format and the setting of limit. When it is selected for a SEND transaction, the following form is proposed to the administrator with a set of check-boxes and fields enabling to define the handler processing.</w:t>
      </w:r>
    </w:p>
    <w:p w:rsidR="00150993" w:rsidRDefault="00150993">
      <w:pPr>
        <w:pStyle w:val="NormalWeb"/>
        <w:rPr>
          <w:lang w:val="en-US"/>
        </w:rPr>
      </w:pPr>
      <w:r>
        <w:rPr>
          <w:noProof/>
        </w:rPr>
        <w:drawing>
          <wp:inline distT="0" distB="0" distL="0" distR="0" wp14:anchorId="4EC86F76" wp14:editId="188D41A4">
            <wp:extent cx="5760720" cy="2894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993" w:rsidRPr="00150993" w:rsidRDefault="00150993">
      <w:pPr>
        <w:pStyle w:val="NormalWeb"/>
        <w:rPr>
          <w:lang w:val="en-US"/>
        </w:rPr>
      </w:pPr>
    </w:p>
    <w:p w:rsidR="00000000" w:rsidRPr="00150993" w:rsidRDefault="008C70EE">
      <w:pPr>
        <w:pStyle w:val="Heading6"/>
        <w:rPr>
          <w:rFonts w:eastAsia="Times New Roman"/>
          <w:lang w:val="en-US"/>
        </w:rPr>
      </w:pPr>
      <w:r w:rsidRPr="00150993">
        <w:rPr>
          <w:rFonts w:eastAsia="Times New Roman"/>
          <w:lang w:val="en-US"/>
        </w:rPr>
        <w:t xml:space="preserve">Allow only one </w:t>
      </w:r>
      <w:proofErr w:type="spellStart"/>
      <w:r w:rsidRPr="00150993">
        <w:rPr>
          <w:rFonts w:eastAsia="Times New Roman"/>
          <w:lang w:val="en-US"/>
        </w:rPr>
        <w:t>PmtInf</w:t>
      </w:r>
      <w:proofErr w:type="spellEnd"/>
      <w:r w:rsidRPr="00150993">
        <w:rPr>
          <w:rFonts w:eastAsia="Times New Roman"/>
          <w:lang w:val="en-US"/>
        </w:rPr>
        <w:t xml:space="preserve"> / </w:t>
      </w:r>
      <w:proofErr w:type="spellStart"/>
      <w:r w:rsidRPr="00150993">
        <w:rPr>
          <w:rFonts w:eastAsia="Times New Roman"/>
          <w:lang w:val="en-US"/>
        </w:rPr>
        <w:t>Hashvalue</w:t>
      </w:r>
      <w:proofErr w:type="spellEnd"/>
      <w:r w:rsidRPr="00150993">
        <w:rPr>
          <w:rFonts w:eastAsia="Times New Roman"/>
          <w:lang w:val="en-US"/>
        </w:rPr>
        <w:t xml:space="preserve"> mandatory</w:t>
      </w:r>
    </w:p>
    <w:p w:rsidR="00000000" w:rsidRPr="00150993" w:rsidRDefault="008C70EE">
      <w:pPr>
        <w:pStyle w:val="NormalWeb"/>
        <w:rPr>
          <w:lang w:val="en-US"/>
        </w:rPr>
      </w:pPr>
      <w:r w:rsidRPr="00150993">
        <w:rPr>
          <w:lang w:val="en-US"/>
        </w:rPr>
        <w:t>These checkboxes must be set for order types for service data centers</w:t>
      </w:r>
      <w:r w:rsidR="00150993">
        <w:rPr>
          <w:lang w:val="en-US"/>
        </w:rPr>
        <w:t>.</w:t>
      </w:r>
      <w:r w:rsidR="00150993">
        <w:rPr>
          <w:lang w:val="en-US"/>
        </w:rPr>
        <w:br/>
        <w:t>(see description at the end of this document)</w:t>
      </w:r>
      <w:r w:rsidRPr="00150993">
        <w:rPr>
          <w:lang w:val="en-US"/>
        </w:rPr>
        <w:t xml:space="preserve">. </w:t>
      </w:r>
    </w:p>
    <w:p w:rsidR="00000000" w:rsidRPr="00150993" w:rsidRDefault="008C70EE">
      <w:pPr>
        <w:pStyle w:val="Heading6"/>
        <w:rPr>
          <w:rFonts w:eastAsia="Times New Roman"/>
          <w:lang w:val="en-US"/>
        </w:rPr>
      </w:pPr>
      <w:r w:rsidRPr="00150993">
        <w:rPr>
          <w:rFonts w:eastAsia="Times New Roman"/>
          <w:lang w:val="en-US"/>
        </w:rPr>
        <w:t>SRZ-Id / SRZ-Name</w:t>
      </w:r>
    </w:p>
    <w:p w:rsidR="00000000" w:rsidRPr="00150993" w:rsidRDefault="008C70EE">
      <w:pPr>
        <w:pStyle w:val="NormalWeb"/>
        <w:rPr>
          <w:lang w:val="en-US"/>
        </w:rPr>
      </w:pPr>
      <w:r w:rsidRPr="00150993">
        <w:rPr>
          <w:lang w:val="en-US"/>
        </w:rPr>
        <w:t xml:space="preserve">Enter values here if the ID or name of the service data center </w:t>
      </w:r>
      <w:r w:rsidRPr="00150993">
        <w:rPr>
          <w:lang w:val="en-US"/>
        </w:rPr>
        <w:t xml:space="preserve">(SRZ) shall be </w:t>
      </w:r>
      <w:proofErr w:type="gramStart"/>
      <w:r w:rsidRPr="00150993">
        <w:rPr>
          <w:lang w:val="en-US"/>
        </w:rPr>
        <w:t>checked</w:t>
      </w:r>
      <w:r w:rsidR="00150993">
        <w:rPr>
          <w:lang w:val="en-US"/>
        </w:rPr>
        <w:t xml:space="preserve"> </w:t>
      </w:r>
      <w:r w:rsidR="00150993">
        <w:rPr>
          <w:lang w:val="en-US"/>
        </w:rPr>
        <w:t xml:space="preserve"> (</w:t>
      </w:r>
      <w:proofErr w:type="gramEnd"/>
      <w:r w:rsidR="00150993">
        <w:rPr>
          <w:lang w:val="en-US"/>
        </w:rPr>
        <w:t>see description at the end of this document)</w:t>
      </w:r>
      <w:r w:rsidR="00150993" w:rsidRPr="00150993">
        <w:rPr>
          <w:lang w:val="en-US"/>
        </w:rPr>
        <w:t xml:space="preserve">. </w:t>
      </w:r>
      <w:r w:rsidRPr="00150993">
        <w:rPr>
          <w:lang w:val="en-US"/>
        </w:rPr>
        <w:t xml:space="preserve"> You can also use variables to provide customer-specific values here, e.g. </w:t>
      </w:r>
      <w:r w:rsidRPr="00150993">
        <w:rPr>
          <w:rStyle w:val="HTMLCode"/>
          <w:lang w:val="en-US"/>
        </w:rPr>
        <w:t>$(_SRZID)</w:t>
      </w:r>
      <w:r w:rsidRPr="00150993">
        <w:rPr>
          <w:lang w:val="en-US"/>
        </w:rPr>
        <w:t xml:space="preserve"> or </w:t>
      </w:r>
      <w:r w:rsidRPr="00150993">
        <w:rPr>
          <w:rStyle w:val="HTMLCode"/>
          <w:lang w:val="en-US"/>
        </w:rPr>
        <w:t>$(_</w:t>
      </w:r>
      <w:proofErr w:type="spellStart"/>
      <w:r w:rsidRPr="00150993">
        <w:rPr>
          <w:rStyle w:val="HTMLCode"/>
          <w:lang w:val="en-US"/>
        </w:rPr>
        <w:t>SRZName</w:t>
      </w:r>
      <w:proofErr w:type="spellEnd"/>
      <w:r w:rsidRPr="00150993">
        <w:rPr>
          <w:rStyle w:val="HTMLCode"/>
          <w:lang w:val="en-US"/>
        </w:rPr>
        <w:t>)</w:t>
      </w:r>
      <w:r w:rsidRPr="00150993">
        <w:rPr>
          <w:lang w:val="en-US"/>
        </w:rPr>
        <w:t xml:space="preserve">. This is configured at the customer under </w:t>
      </w:r>
      <w:r w:rsidRPr="00150993">
        <w:rPr>
          <w:i/>
          <w:iCs/>
          <w:lang w:val="en-US"/>
        </w:rPr>
        <w:t>Parameters</w:t>
      </w:r>
      <w:r w:rsidRPr="00150993">
        <w:rPr>
          <w:lang w:val="en-US"/>
        </w:rPr>
        <w:t xml:space="preserve">. </w:t>
      </w:r>
    </w:p>
    <w:p w:rsidR="00000000" w:rsidRPr="00150993" w:rsidRDefault="008C70EE">
      <w:pPr>
        <w:pStyle w:val="Heading6"/>
        <w:rPr>
          <w:rFonts w:eastAsia="Times New Roman"/>
          <w:lang w:val="en-US"/>
        </w:rPr>
      </w:pPr>
      <w:r w:rsidRPr="00150993">
        <w:rPr>
          <w:rFonts w:eastAsia="Times New Roman"/>
          <w:lang w:val="en-US"/>
        </w:rPr>
        <w:t>Salary payments</w:t>
      </w:r>
    </w:p>
    <w:p w:rsidR="00000000" w:rsidRPr="00150993" w:rsidRDefault="008C70EE">
      <w:pPr>
        <w:pStyle w:val="NormalWeb"/>
        <w:rPr>
          <w:lang w:val="en-US"/>
        </w:rPr>
      </w:pPr>
      <w:r w:rsidRPr="00150993">
        <w:rPr>
          <w:lang w:val="en-US"/>
        </w:rPr>
        <w:t xml:space="preserve">Here, you can set that the details for the electronic signature are suppressed for files containing the purpose codes </w:t>
      </w:r>
      <w:r w:rsidRPr="00150993">
        <w:rPr>
          <w:i/>
          <w:iCs/>
          <w:lang w:val="en-US"/>
        </w:rPr>
        <w:t>BONU</w:t>
      </w:r>
      <w:r w:rsidRPr="00150993">
        <w:rPr>
          <w:lang w:val="en-US"/>
        </w:rPr>
        <w:t xml:space="preserve">, </w:t>
      </w:r>
      <w:r w:rsidRPr="00150993">
        <w:rPr>
          <w:i/>
          <w:iCs/>
          <w:lang w:val="en-US"/>
        </w:rPr>
        <w:t>PENS</w:t>
      </w:r>
      <w:r w:rsidRPr="00150993">
        <w:rPr>
          <w:lang w:val="en-US"/>
        </w:rPr>
        <w:t xml:space="preserve"> or </w:t>
      </w:r>
      <w:r w:rsidRPr="00150993">
        <w:rPr>
          <w:i/>
          <w:iCs/>
          <w:lang w:val="en-US"/>
        </w:rPr>
        <w:t>SALA</w:t>
      </w:r>
      <w:r w:rsidRPr="00150993">
        <w:rPr>
          <w:lang w:val="en-US"/>
        </w:rPr>
        <w:t xml:space="preserve">, that is, when additional signatures are added, the user cannot see the </w:t>
      </w:r>
      <w:r w:rsidRPr="00150993">
        <w:rPr>
          <w:lang w:val="en-US"/>
        </w:rPr>
        <w:t xml:space="preserve">transaction details. </w:t>
      </w:r>
    </w:p>
    <w:p w:rsidR="00000000" w:rsidRPr="00150993" w:rsidRDefault="008C70EE">
      <w:pPr>
        <w:pStyle w:val="Heading6"/>
        <w:rPr>
          <w:rFonts w:eastAsia="Times New Roman"/>
          <w:lang w:val="en-US"/>
        </w:rPr>
      </w:pPr>
      <w:r w:rsidRPr="00150993">
        <w:rPr>
          <w:rFonts w:eastAsia="Times New Roman"/>
          <w:lang w:val="en-US"/>
        </w:rPr>
        <w:t>SEPA versions</w:t>
      </w:r>
    </w:p>
    <w:p w:rsidR="00000000" w:rsidRPr="00150993" w:rsidRDefault="008C70EE">
      <w:pPr>
        <w:pStyle w:val="NormalWeb"/>
        <w:rPr>
          <w:lang w:val="en-US"/>
        </w:rPr>
      </w:pPr>
      <w:r w:rsidRPr="00150993">
        <w:rPr>
          <w:lang w:val="en-US"/>
        </w:rPr>
        <w:lastRenderedPageBreak/>
        <w:t xml:space="preserve">Here you can specify which SEPA versions* should be supported. </w:t>
      </w:r>
    </w:p>
    <w:p w:rsidR="00000000" w:rsidRPr="00150993" w:rsidRDefault="008C70EE">
      <w:pPr>
        <w:divId w:val="1334406836"/>
        <w:rPr>
          <w:rFonts w:eastAsia="Times New Roman"/>
          <w:lang w:val="en-US"/>
        </w:rPr>
      </w:pPr>
      <w:r w:rsidRPr="00150993">
        <w:rPr>
          <w:rFonts w:eastAsia="Times New Roman"/>
          <w:lang w:val="en-US"/>
        </w:rPr>
        <w:t xml:space="preserve">*) Schemas </w:t>
      </w:r>
    </w:p>
    <w:p w:rsidR="00000000" w:rsidRPr="00150993" w:rsidRDefault="008C70EE">
      <w:pPr>
        <w:pStyle w:val="NormalWeb"/>
        <w:divId w:val="1334406836"/>
        <w:rPr>
          <w:lang w:val="en-US"/>
        </w:rPr>
      </w:pPr>
      <w:r w:rsidRPr="00150993">
        <w:rPr>
          <w:lang w:val="en-US"/>
        </w:rPr>
        <w:t xml:space="preserve">SEPA-3.1 — </w:t>
      </w:r>
      <w:proofErr w:type="gramStart"/>
      <w:r w:rsidRPr="00150993">
        <w:rPr>
          <w:lang w:val="en-US"/>
        </w:rPr>
        <w:t>urn:conxml</w:t>
      </w:r>
      <w:proofErr w:type="gramEnd"/>
      <w:r w:rsidRPr="00150993">
        <w:rPr>
          <w:lang w:val="en-US"/>
        </w:rPr>
        <w:t>:xsd:container.nnn.001.02 (GBIC2)</w:t>
      </w:r>
    </w:p>
    <w:p w:rsidR="00000000" w:rsidRPr="00150993" w:rsidRDefault="008C70EE">
      <w:pPr>
        <w:pStyle w:val="NormalWeb"/>
        <w:divId w:val="1334406836"/>
        <w:rPr>
          <w:lang w:val="en-US"/>
        </w:rPr>
      </w:pPr>
      <w:r w:rsidRPr="00150993">
        <w:rPr>
          <w:lang w:val="en-US"/>
        </w:rPr>
        <w:t xml:space="preserve">SEPA-3.0 — </w:t>
      </w:r>
      <w:proofErr w:type="gramStart"/>
      <w:r w:rsidRPr="00150993">
        <w:rPr>
          <w:lang w:val="en-US"/>
        </w:rPr>
        <w:t>urn:conxml</w:t>
      </w:r>
      <w:proofErr w:type="gramEnd"/>
      <w:r w:rsidRPr="00150993">
        <w:rPr>
          <w:lang w:val="en-US"/>
        </w:rPr>
        <w:t>:xsd:container.nnn.001.02</w:t>
      </w:r>
    </w:p>
    <w:p w:rsidR="00000000" w:rsidRPr="00150993" w:rsidRDefault="008C70EE">
      <w:pPr>
        <w:pStyle w:val="NormalWeb"/>
        <w:divId w:val="1334406836"/>
        <w:rPr>
          <w:lang w:val="en-US"/>
        </w:rPr>
      </w:pPr>
      <w:r w:rsidRPr="00150993">
        <w:rPr>
          <w:lang w:val="en-US"/>
        </w:rPr>
        <w:t xml:space="preserve">SEPA-2.7 — </w:t>
      </w:r>
      <w:proofErr w:type="gramStart"/>
      <w:r w:rsidRPr="00150993">
        <w:rPr>
          <w:lang w:val="en-US"/>
        </w:rPr>
        <w:t>urn:conxml</w:t>
      </w:r>
      <w:proofErr w:type="gramEnd"/>
      <w:r w:rsidRPr="00150993">
        <w:rPr>
          <w:lang w:val="en-US"/>
        </w:rPr>
        <w:t>:xsd:container.nnn.003.02</w:t>
      </w:r>
    </w:p>
    <w:p w:rsidR="00000000" w:rsidRPr="00150993" w:rsidRDefault="008C70EE">
      <w:pPr>
        <w:pStyle w:val="NormalWeb"/>
        <w:divId w:val="1334406836"/>
        <w:rPr>
          <w:lang w:val="en-US"/>
        </w:rPr>
      </w:pPr>
      <w:r w:rsidRPr="00150993">
        <w:rPr>
          <w:lang w:val="en-US"/>
        </w:rPr>
        <w:t xml:space="preserve">SEPA-2.5 — </w:t>
      </w:r>
      <w:proofErr w:type="gramStart"/>
      <w:r w:rsidRPr="00150993">
        <w:rPr>
          <w:lang w:val="en-US"/>
        </w:rPr>
        <w:t>urn:conxml</w:t>
      </w:r>
      <w:proofErr w:type="gramEnd"/>
      <w:r w:rsidRPr="00150993">
        <w:rPr>
          <w:lang w:val="en-US"/>
        </w:rPr>
        <w:t>:xsd:container.nnn.002.02</w:t>
      </w:r>
    </w:p>
    <w:p w:rsidR="00000000" w:rsidRDefault="008C70EE">
      <w:pPr>
        <w:pStyle w:val="NormalWeb"/>
        <w:divId w:val="1334406836"/>
        <w:rPr>
          <w:lang w:val="en-US"/>
        </w:rPr>
      </w:pPr>
      <w:r w:rsidRPr="00150993">
        <w:rPr>
          <w:lang w:val="en-US"/>
        </w:rPr>
        <w:t xml:space="preserve">SEPA-2.4 — </w:t>
      </w:r>
      <w:proofErr w:type="gramStart"/>
      <w:r w:rsidRPr="00150993">
        <w:rPr>
          <w:lang w:val="en-US"/>
        </w:rPr>
        <w:t>urn:conxml</w:t>
      </w:r>
      <w:proofErr w:type="gramEnd"/>
      <w:r w:rsidRPr="00150993">
        <w:rPr>
          <w:lang w:val="en-US"/>
        </w:rPr>
        <w:t>:xsd:container.nnn.002</w:t>
      </w:r>
    </w:p>
    <w:p w:rsidR="00150993" w:rsidRPr="00150993" w:rsidRDefault="00150993">
      <w:pPr>
        <w:pStyle w:val="NormalWeb"/>
        <w:divId w:val="1334406836"/>
        <w:rPr>
          <w:b/>
          <w:lang w:val="en-US"/>
        </w:rPr>
      </w:pPr>
    </w:p>
    <w:p w:rsidR="00150993" w:rsidRPr="00150993" w:rsidRDefault="00150993">
      <w:pPr>
        <w:pStyle w:val="NormalWeb"/>
        <w:divId w:val="1334406836"/>
        <w:rPr>
          <w:b/>
          <w:lang w:val="en-US"/>
        </w:rPr>
      </w:pPr>
      <w:r w:rsidRPr="00150993">
        <w:rPr>
          <w:rFonts w:ascii="Calibri" w:eastAsia="Times New Roman" w:hAnsi="Calibri" w:cs="Calibri"/>
          <w:b/>
          <w:color w:val="000000"/>
          <w:sz w:val="22"/>
          <w:szCs w:val="22"/>
          <w:lang w:val="en-US"/>
        </w:rPr>
        <w:t xml:space="preserve">SRZ (Service </w:t>
      </w:r>
      <w:proofErr w:type="spellStart"/>
      <w:r w:rsidRPr="00150993">
        <w:rPr>
          <w:rFonts w:ascii="Calibri" w:eastAsia="Times New Roman" w:hAnsi="Calibri" w:cs="Calibri"/>
          <w:b/>
          <w:color w:val="000000"/>
          <w:sz w:val="22"/>
          <w:szCs w:val="22"/>
          <w:lang w:val="en-US"/>
        </w:rPr>
        <w:t>Rechenzentrum</w:t>
      </w:r>
      <w:proofErr w:type="spellEnd"/>
      <w:r w:rsidRPr="00150993">
        <w:rPr>
          <w:rFonts w:ascii="Calibri" w:eastAsia="Times New Roman" w:hAnsi="Calibri" w:cs="Calibri"/>
          <w:b/>
          <w:color w:val="000000"/>
          <w:sz w:val="22"/>
          <w:szCs w:val="22"/>
          <w:lang w:val="en-US"/>
        </w:rPr>
        <w:t>, service data center)</w:t>
      </w:r>
    </w:p>
    <w:p w:rsidR="00150993" w:rsidRPr="00150993" w:rsidRDefault="00150993" w:rsidP="00150993">
      <w:pPr>
        <w:autoSpaceDE w:val="0"/>
        <w:autoSpaceDN w:val="0"/>
        <w:adjustRightInd w:val="0"/>
        <w:spacing w:before="100" w:beforeAutospacing="1" w:after="100" w:afterAutospacing="1"/>
        <w:divId w:val="1334406836"/>
        <w:rPr>
          <w:rFonts w:ascii="Verdana" w:eastAsia="Times New Roman" w:hAnsi="Verdana" w:cs="Verdana"/>
          <w:sz w:val="20"/>
          <w:szCs w:val="20"/>
          <w:lang w:val="en-US"/>
        </w:rPr>
      </w:pP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The handler </w:t>
      </w:r>
      <w:r w:rsidRPr="00150993">
        <w:rPr>
          <w:rFonts w:eastAsia="Times New Roman"/>
          <w:color w:val="000000"/>
          <w:lang w:val="en-US"/>
        </w:rPr>
        <w:t xml:space="preserve">CCC (pain.001.00x.0{2,3}) 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is able to make a validation as specified by the Deutsche Bundesbank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(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Specificaton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in German </w:t>
      </w:r>
      <w:hyperlink r:id="rId5" w:history="1">
        <w:r w:rsidRPr="00150993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US"/>
          </w:rPr>
          <w:t>there</w:t>
        </w:r>
      </w:hyperlink>
      <w:r w:rsidRPr="00150993">
        <w:rPr>
          <w:rFonts w:ascii="Calibri" w:eastAsia="Times New Roman" w:hAnsi="Calibri" w:cs="Calibri"/>
          <w:color w:val="0000FF"/>
          <w:sz w:val="22"/>
          <w:szCs w:val="22"/>
          <w:u w:val="single"/>
          <w:lang w:val="en-US"/>
        </w:rPr>
        <w:t xml:space="preserve"> 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–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E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nglish 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translation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no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t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available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)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. </w:t>
      </w:r>
    </w:p>
    <w:p w:rsidR="00150993" w:rsidRPr="00150993" w:rsidRDefault="00150993" w:rsidP="00150993">
      <w:pPr>
        <w:autoSpaceDE w:val="0"/>
        <w:autoSpaceDN w:val="0"/>
        <w:adjustRightInd w:val="0"/>
        <w:spacing w:before="100" w:beforeAutospacing="1" w:after="100" w:afterAutospacing="1"/>
        <w:divId w:val="1334406836"/>
        <w:rPr>
          <w:rFonts w:ascii="Verdana" w:eastAsia="Times New Roman" w:hAnsi="Verdana" w:cs="Verdana"/>
          <w:sz w:val="20"/>
          <w:szCs w:val="20"/>
          <w:lang w:val="en-US"/>
        </w:rPr>
      </w:pP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The 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hashvalue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is the "hash" of a single file in the container. If </w:t>
      </w:r>
      <w:proofErr w:type="gram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a</w:t>
      </w:r>
      <w:proofErr w:type="gram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SRZ (Service 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Rechenzentrum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, service data center) uploads files, the hash is mandatory for them:</w:t>
      </w:r>
    </w:p>
    <w:p w:rsidR="00150993" w:rsidRPr="00150993" w:rsidRDefault="00150993" w:rsidP="00150993">
      <w:pPr>
        <w:autoSpaceDE w:val="0"/>
        <w:autoSpaceDN w:val="0"/>
        <w:adjustRightInd w:val="0"/>
        <w:spacing w:before="100" w:beforeAutospacing="1" w:after="100" w:afterAutospacing="1"/>
        <w:divId w:val="1334406836"/>
        <w:rPr>
          <w:rFonts w:ascii="Verdana" w:eastAsia="Times New Roman" w:hAnsi="Verdana" w:cs="Verdana"/>
          <w:sz w:val="20"/>
          <w:szCs w:val="20"/>
          <w:lang w:val="en-US"/>
        </w:rPr>
      </w:pP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&lt;MsgPain001&gt;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&lt;HashValue&gt;</w:t>
      </w:r>
      <w:r w:rsidRPr="00150993">
        <w:rPr>
          <w:rFonts w:ascii="Calibri" w:eastAsia="Times New Roman" w:hAnsi="Calibri" w:cs="Calibri"/>
          <w:color w:val="FF0000"/>
          <w:sz w:val="22"/>
          <w:szCs w:val="22"/>
          <w:lang w:val="en-US"/>
        </w:rPr>
        <w:t>D7A8FBB307D7809469CA9ABCB0082E4F8D5651E46D3CDB762D02D0BF37C9E592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HashValue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HashAlgorithm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&gt;SHA256&lt;/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HashAlgorithm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 xml:space="preserve">&lt;Document 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xmlns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="urn:</w:t>
      </w:r>
      <w:proofErr w:type="gram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iso:std</w:t>
      </w:r>
      <w:proofErr w:type="gram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:iso:20022:tech:xsd:pain.001.001.03"&gt;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CstmrCdtTrfInitn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&lt;!-- content of the pain.001.001.03 file --&gt;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CstmrCdtTrfInitn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&lt;/Document&gt;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&lt;/MsgPain001&gt;</w:t>
      </w:r>
    </w:p>
    <w:p w:rsidR="00150993" w:rsidRPr="00150993" w:rsidRDefault="00150993" w:rsidP="00150993">
      <w:pPr>
        <w:autoSpaceDE w:val="0"/>
        <w:autoSpaceDN w:val="0"/>
        <w:adjustRightInd w:val="0"/>
        <w:spacing w:before="100" w:beforeAutospacing="1" w:after="100" w:afterAutospacing="1"/>
        <w:divId w:val="1334406836"/>
        <w:rPr>
          <w:rFonts w:ascii="Verdana" w:eastAsia="Times New Roman" w:hAnsi="Verdana" w:cs="Verdana"/>
          <w:sz w:val="20"/>
          <w:szCs w:val="20"/>
          <w:lang w:val="en-U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T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he ID and Name are mandatory for </w:t>
      </w:r>
      <w:proofErr w:type="gram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a</w:t>
      </w:r>
      <w:proofErr w:type="gram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SRZ and 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t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he handler has to check them - these parameters are found inside of each file of the container, as a part of the pain.001.001.03 file).:</w:t>
      </w:r>
    </w:p>
    <w:p w:rsidR="00150993" w:rsidRPr="00150993" w:rsidRDefault="00150993" w:rsidP="00150993">
      <w:pPr>
        <w:autoSpaceDE w:val="0"/>
        <w:autoSpaceDN w:val="0"/>
        <w:adjustRightInd w:val="0"/>
        <w:spacing w:before="100" w:beforeAutospacing="1" w:after="100" w:afterAutospacing="1"/>
        <w:divId w:val="1334406836"/>
        <w:rPr>
          <w:rFonts w:ascii="Verdana" w:eastAsia="Times New Roman" w:hAnsi="Verdana" w:cs="Verdana"/>
          <w:sz w:val="20"/>
          <w:szCs w:val="20"/>
          <w:lang w:val="en-US"/>
        </w:rPr>
      </w:pP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InitgPty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&lt;Nm&gt;N</w:t>
      </w:r>
      <w:r w:rsidRPr="00150993">
        <w:rPr>
          <w:rFonts w:ascii="Calibri" w:eastAsia="Times New Roman" w:hAnsi="Calibri" w:cs="Calibri"/>
          <w:color w:val="FF0000"/>
          <w:sz w:val="22"/>
          <w:szCs w:val="22"/>
          <w:lang w:val="en-US"/>
        </w:rPr>
        <w:t>ame des SRZ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&lt;/Nm&gt;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&lt;Id&gt;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OrgId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Othr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&lt;Id&gt;</w:t>
      </w:r>
      <w:r w:rsidRPr="00150993">
        <w:rPr>
          <w:rFonts w:ascii="Calibri" w:eastAsia="Times New Roman" w:hAnsi="Calibri" w:cs="Calibri"/>
          <w:color w:val="FF0000"/>
          <w:sz w:val="22"/>
          <w:szCs w:val="22"/>
          <w:lang w:val="en-US"/>
        </w:rPr>
        <w:t>DRTHG23425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&lt;/Id&gt;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</w:r>
      <w:proofErr w:type="gram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&lt;!--</w:t>
      </w:r>
      <w:proofErr w:type="gram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10-stellige 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Kennung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 xml:space="preserve"> des SRZ --&gt;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SchmeNm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Prtry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&gt;SRZ&lt;/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Prtry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SchmeNm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Issr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&gt;DK&lt;/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Issr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Othr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OrgId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&lt;/Id&gt;</w:t>
      </w:r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br/>
        <w:t>&lt;/</w:t>
      </w:r>
      <w:proofErr w:type="spellStart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InitgPty</w:t>
      </w:r>
      <w:proofErr w:type="spellEnd"/>
      <w:r w:rsidRPr="00150993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&gt;</w:t>
      </w:r>
    </w:p>
    <w:p w:rsidR="008C70EE" w:rsidRPr="00150993" w:rsidRDefault="008C70EE" w:rsidP="00150993">
      <w:pPr>
        <w:pStyle w:val="NormalWeb"/>
        <w:divId w:val="1334406836"/>
        <w:rPr>
          <w:lang w:val="en-US"/>
        </w:rPr>
      </w:pPr>
    </w:p>
    <w:sectPr w:rsidR="008C70EE" w:rsidRPr="00150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93"/>
    <w:rsid w:val="00150993"/>
    <w:rsid w:val="008C70EE"/>
    <w:rsid w:val="00A337A7"/>
    <w:rsid w:val="00A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64C80"/>
  <w15:chartTrackingRefBased/>
  <w15:docId w15:val="{280DC1E9-5B1B-416A-BB62-8FBEB29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rct=j&amp;q=&amp;esrc=s&amp;source=web&amp;cd=2&amp;cad=rja&amp;uact=8&amp;ved=2ahUKEwjnwoe694jiAhVK1xoKHSK1BeYQFjABegQIAxAC&amp;url=https%3A%2F%2Fwww.bundesbank.de%2Fresource%2Fblob%2F762780%2F0dcb1ce04b19ce9ce7d76fd458d10920%2FmL%2Fszr-bedingungen-data.pdf&amp;usg=AOvVaw2E8CNUkDbMj9ExJz9A8wZ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Boudet</dc:creator>
  <cp:keywords/>
  <dc:description/>
  <cp:lastModifiedBy>Eric Boudet</cp:lastModifiedBy>
  <cp:revision>4</cp:revision>
  <dcterms:created xsi:type="dcterms:W3CDTF">2019-05-07T09:56:00Z</dcterms:created>
  <dcterms:modified xsi:type="dcterms:W3CDTF">2019-05-07T09:57:00Z</dcterms:modified>
</cp:coreProperties>
</file>